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EF" w:rsidRDefault="00F576EF" w:rsidP="00F576EF">
      <w:pPr>
        <w:ind w:right="-18"/>
        <w:jc w:val="center"/>
        <w:rPr>
          <w:rFonts w:ascii="Times New Roman" w:hAnsi="Times New Roman"/>
          <w:b/>
          <w:sz w:val="26"/>
        </w:rPr>
      </w:pPr>
      <w:r>
        <w:rPr>
          <w:rFonts w:ascii="Times New Roman" w:hAnsi="Times New Roman"/>
          <w:b/>
          <w:sz w:val="26"/>
        </w:rPr>
        <w:t>ARMED SERVICES BOARD OF CONTRACT APPEALS</w:t>
      </w:r>
    </w:p>
    <w:p w:rsidR="00F576EF" w:rsidRPr="00855239" w:rsidRDefault="00F576EF" w:rsidP="00F576EF">
      <w:pPr>
        <w:ind w:right="-18"/>
        <w:jc w:val="center"/>
        <w:rPr>
          <w:rFonts w:ascii="Times New Roman" w:hAnsi="Times New Roman"/>
          <w:b/>
          <w:sz w:val="26"/>
        </w:rPr>
      </w:pPr>
      <w:r>
        <w:rPr>
          <w:rFonts w:ascii="Times New Roman" w:hAnsi="Times New Roman"/>
          <w:b/>
          <w:sz w:val="26"/>
        </w:rPr>
        <w:t xml:space="preserve">SAMPLE AGREEMENT TO UTILIZE THE </w:t>
      </w:r>
      <w:r>
        <w:rPr>
          <w:rFonts w:ascii="Times New Roman" w:hAnsi="Times New Roman"/>
          <w:b/>
          <w:sz w:val="26"/>
        </w:rPr>
        <w:t>SUMMARY PROCEEDING WITH BINDING DECISION PROCEDURE</w:t>
      </w:r>
    </w:p>
    <w:p w:rsidR="00F576EF" w:rsidRPr="00855239" w:rsidRDefault="00F576EF" w:rsidP="00F576EF">
      <w:pPr>
        <w:ind w:right="-18"/>
        <w:jc w:val="center"/>
        <w:rPr>
          <w:rFonts w:ascii="Times New Roman" w:hAnsi="Times New Roman"/>
          <w:i/>
          <w:sz w:val="26"/>
        </w:rPr>
      </w:pPr>
      <w:r>
        <w:rPr>
          <w:rFonts w:ascii="Times New Roman" w:hAnsi="Times New Roman"/>
          <w:i/>
          <w:sz w:val="26"/>
        </w:rPr>
        <w:t>18 May 2017</w:t>
      </w:r>
    </w:p>
    <w:p w:rsidR="00F576EF" w:rsidRDefault="00F576EF" w:rsidP="00F576EF">
      <w:pPr>
        <w:ind w:right="-18"/>
        <w:rPr>
          <w:rFonts w:ascii="Times New Roman" w:hAnsi="Times New Roman"/>
          <w:sz w:val="26"/>
        </w:rPr>
      </w:pPr>
    </w:p>
    <w:p w:rsidR="00F576EF" w:rsidRDefault="00F576EF" w:rsidP="00F576EF">
      <w:pPr>
        <w:ind w:right="-18"/>
        <w:rPr>
          <w:rFonts w:ascii="Times New Roman" w:hAnsi="Times New Roman"/>
          <w:sz w:val="26"/>
        </w:rPr>
      </w:pPr>
    </w:p>
    <w:p w:rsidR="00BE4AD8" w:rsidRDefault="00F576EF" w:rsidP="00F576EF">
      <w:pPr>
        <w:ind w:right="-18"/>
        <w:rPr>
          <w:rFonts w:ascii="Times New Roman" w:hAnsi="Times New Roman"/>
          <w:sz w:val="26"/>
        </w:rPr>
      </w:pPr>
      <w:r>
        <w:rPr>
          <w:rFonts w:ascii="Times New Roman" w:hAnsi="Times New Roman"/>
          <w:sz w:val="26"/>
        </w:rPr>
        <w:t xml:space="preserve"> </w:t>
      </w:r>
      <w:r w:rsidR="001576F4">
        <w:rPr>
          <w:rFonts w:ascii="Times New Roman" w:hAnsi="Times New Roman"/>
          <w:sz w:val="26"/>
        </w:rPr>
        <w:t>[NOTE</w:t>
      </w:r>
      <w:r w:rsidR="000F6B09">
        <w:rPr>
          <w:rFonts w:ascii="Times New Roman" w:hAnsi="Times New Roman"/>
          <w:sz w:val="26"/>
        </w:rPr>
        <w:t xml:space="preserve"> 1</w:t>
      </w:r>
      <w:r w:rsidR="001576F4">
        <w:rPr>
          <w:rFonts w:ascii="Times New Roman" w:hAnsi="Times New Roman"/>
          <w:sz w:val="26"/>
        </w:rPr>
        <w:t xml:space="preserve">:  The following sample agreement is provided in response to requests the Board receives for examples of ADR agreements that may be suitable for use in ADR proceedings under </w:t>
      </w:r>
      <w:r w:rsidR="009A68E2">
        <w:rPr>
          <w:rFonts w:ascii="Times New Roman" w:hAnsi="Times New Roman"/>
          <w:sz w:val="26"/>
        </w:rPr>
        <w:t xml:space="preserve">Addendum II to the Board’s Rules, </w:t>
      </w:r>
      <w:r w:rsidR="009A68E2">
        <w:rPr>
          <w:rFonts w:ascii="Times New Roman" w:hAnsi="Times New Roman"/>
          <w:sz w:val="26"/>
          <w:u w:val="single"/>
        </w:rPr>
        <w:t>Alternative Methods of Dispute Resolution</w:t>
      </w:r>
      <w:r w:rsidR="009A68E2">
        <w:rPr>
          <w:rFonts w:ascii="Times New Roman" w:hAnsi="Times New Roman"/>
          <w:sz w:val="26"/>
        </w:rPr>
        <w:t>.</w:t>
      </w:r>
      <w:r w:rsidR="001576F4">
        <w:rPr>
          <w:rFonts w:ascii="Times New Roman" w:hAnsi="Times New Roman"/>
          <w:sz w:val="26"/>
        </w:rPr>
        <w:t xml:space="preserve">  This sample is offered </w:t>
      </w:r>
      <w:r w:rsidR="001576F4">
        <w:rPr>
          <w:rFonts w:ascii="Times New Roman" w:hAnsi="Times New Roman"/>
          <w:sz w:val="26"/>
          <w:u w:val="single"/>
        </w:rPr>
        <w:t>solely</w:t>
      </w:r>
      <w:r w:rsidR="001576F4">
        <w:rPr>
          <w:rFonts w:ascii="Times New Roman" w:hAnsi="Times New Roman"/>
          <w:sz w:val="26"/>
        </w:rPr>
        <w:t xml:space="preserve"> as an aid to the parties in focusing their thoughts on the ground rules that will best serve their interests in resolving a particular dispute.  The Board recognizes that one of the strengths of the ADR process would be lost if the same procedural format were insisted on in every case.  Thus, the Board by offering this sample does not intend to restrict the parties’ discretion in tailoring the agreement to meet their particular needs.  Paragraphs </w:t>
      </w:r>
      <w:r w:rsidR="00266FFC">
        <w:rPr>
          <w:rFonts w:ascii="Times New Roman" w:hAnsi="Times New Roman"/>
          <w:sz w:val="26"/>
        </w:rPr>
        <w:t>1</w:t>
      </w:r>
      <w:r w:rsidR="001576F4">
        <w:rPr>
          <w:rFonts w:ascii="Times New Roman" w:hAnsi="Times New Roman"/>
          <w:sz w:val="26"/>
        </w:rPr>
        <w:t xml:space="preserve">2, </w:t>
      </w:r>
      <w:r w:rsidR="00266FFC">
        <w:rPr>
          <w:rFonts w:ascii="Times New Roman" w:hAnsi="Times New Roman"/>
          <w:sz w:val="26"/>
        </w:rPr>
        <w:t>13</w:t>
      </w:r>
      <w:r w:rsidR="000F6B09">
        <w:rPr>
          <w:rFonts w:ascii="Times New Roman" w:hAnsi="Times New Roman"/>
          <w:sz w:val="26"/>
        </w:rPr>
        <w:t>,</w:t>
      </w:r>
      <w:r w:rsidR="00266FFC">
        <w:rPr>
          <w:rFonts w:ascii="Times New Roman" w:hAnsi="Times New Roman"/>
          <w:sz w:val="26"/>
        </w:rPr>
        <w:t xml:space="preserve"> </w:t>
      </w:r>
      <w:r w:rsidR="00672AC9">
        <w:rPr>
          <w:rFonts w:ascii="Times New Roman" w:hAnsi="Times New Roman"/>
          <w:sz w:val="26"/>
        </w:rPr>
        <w:t xml:space="preserve">and </w:t>
      </w:r>
      <w:r w:rsidR="00266FFC">
        <w:rPr>
          <w:rFonts w:ascii="Times New Roman" w:hAnsi="Times New Roman"/>
          <w:sz w:val="26"/>
        </w:rPr>
        <w:t>15,</w:t>
      </w:r>
      <w:r w:rsidR="001576F4">
        <w:rPr>
          <w:rFonts w:ascii="Times New Roman" w:hAnsi="Times New Roman"/>
          <w:sz w:val="26"/>
        </w:rPr>
        <w:t xml:space="preserve"> however, are key features of the </w:t>
      </w:r>
      <w:r w:rsidR="00604863">
        <w:rPr>
          <w:rFonts w:ascii="Times New Roman" w:hAnsi="Times New Roman"/>
          <w:sz w:val="26"/>
        </w:rPr>
        <w:t>Summary Proceeding with Binding Decision</w:t>
      </w:r>
      <w:r w:rsidR="001576F4">
        <w:rPr>
          <w:rFonts w:ascii="Times New Roman" w:hAnsi="Times New Roman"/>
          <w:sz w:val="26"/>
        </w:rPr>
        <w:t xml:space="preserve"> method of ADR</w:t>
      </w:r>
      <w:r w:rsidR="000F6B09">
        <w:rPr>
          <w:rFonts w:ascii="Times New Roman" w:hAnsi="Times New Roman"/>
          <w:sz w:val="26"/>
        </w:rPr>
        <w:t xml:space="preserve"> and are mandatory</w:t>
      </w:r>
      <w:r w:rsidR="001576F4">
        <w:rPr>
          <w:rFonts w:ascii="Times New Roman" w:hAnsi="Times New Roman"/>
          <w:sz w:val="26"/>
        </w:rPr>
        <w:t>.</w:t>
      </w:r>
      <w:r w:rsidR="00BC1169">
        <w:rPr>
          <w:rFonts w:ascii="Times New Roman" w:hAnsi="Times New Roman"/>
          <w:sz w:val="26"/>
        </w:rPr>
        <w:t xml:space="preserve">  When the parties seek an oral hearing, paragraph 8 is also mandatory.</w:t>
      </w:r>
    </w:p>
    <w:p w:rsidR="00BE4AD8" w:rsidRDefault="00BE4AD8" w:rsidP="004E6E99">
      <w:pPr>
        <w:ind w:right="-18"/>
        <w:rPr>
          <w:rFonts w:ascii="Times New Roman" w:hAnsi="Times New Roman"/>
          <w:sz w:val="26"/>
        </w:rPr>
      </w:pPr>
    </w:p>
    <w:p w:rsidR="001576F4" w:rsidRDefault="00BE4AD8" w:rsidP="004E6E99">
      <w:pPr>
        <w:ind w:right="-18"/>
        <w:rPr>
          <w:rFonts w:ascii="Times New Roman" w:hAnsi="Times New Roman"/>
          <w:sz w:val="26"/>
        </w:rPr>
      </w:pPr>
      <w:r>
        <w:rPr>
          <w:rFonts w:ascii="Times New Roman" w:hAnsi="Times New Roman"/>
          <w:sz w:val="26"/>
        </w:rPr>
        <w:t>NOTE 2:  The parties are advised that written material prepared specifically for use in an ADR proceeding, oral presentations made at an ADR proceeding, and all discussions in connection with such proceedings are considered “dispute resolution communications” as d</w:t>
      </w:r>
      <w:r w:rsidR="00220CFE">
        <w:rPr>
          <w:rFonts w:ascii="Times New Roman" w:hAnsi="Times New Roman"/>
          <w:sz w:val="26"/>
        </w:rPr>
        <w:t xml:space="preserve">efined in the Administrative Dispute Resolution Act, 5 U.S.C. § 571(5).  Pursuant to paragraph 5 of Addendum II to the Board’s Rules, </w:t>
      </w:r>
      <w:r w:rsidR="00220CFE">
        <w:rPr>
          <w:rFonts w:ascii="Times New Roman" w:hAnsi="Times New Roman"/>
          <w:sz w:val="26"/>
          <w:u w:val="single"/>
        </w:rPr>
        <w:t>Alternative Methods of Dispute Resolution</w:t>
      </w:r>
      <w:r w:rsidR="00220CFE">
        <w:rPr>
          <w:rFonts w:ascii="Times New Roman" w:hAnsi="Times New Roman"/>
          <w:sz w:val="26"/>
        </w:rPr>
        <w:t>, such dispute resolution communications are presumed to be confidential and, unless otherwise specifically agreed by the parties, are inadmissible as evidence in any pending or future Board proceeding involving the parties or matter in dispute; however, evidence otherwise admissible before the Board is not rendered inadmissible because of its use in the ADR proceeding.  Dispute resolution communications are subject to the confidentiality requirements of 5 U.S.C. § 574.</w:t>
      </w:r>
      <w:r w:rsidR="001576F4">
        <w:rPr>
          <w:rFonts w:ascii="Times New Roman" w:hAnsi="Times New Roman"/>
          <w:sz w:val="26"/>
        </w:rPr>
        <w:t>]</w:t>
      </w:r>
    </w:p>
    <w:p w:rsidR="001576F4" w:rsidRDefault="001576F4" w:rsidP="004E6E99">
      <w:pPr>
        <w:ind w:right="-18"/>
        <w:rPr>
          <w:rFonts w:ascii="Times New Roman" w:hAnsi="Times New Roman"/>
          <w:sz w:val="26"/>
        </w:rPr>
      </w:pPr>
    </w:p>
    <w:p w:rsidR="001576F4" w:rsidRDefault="001576F4" w:rsidP="004E6E99">
      <w:pPr>
        <w:spacing w:line="-300" w:lineRule="auto"/>
        <w:ind w:right="-18"/>
        <w:jc w:val="center"/>
        <w:rPr>
          <w:rFonts w:ascii="Times New Roman" w:hAnsi="Times New Roman"/>
          <w:sz w:val="26"/>
        </w:rPr>
      </w:pPr>
      <w:r>
        <w:rPr>
          <w:rFonts w:ascii="Times New Roman" w:hAnsi="Times New Roman"/>
          <w:sz w:val="26"/>
        </w:rPr>
        <w:t>SAMPLE</w:t>
      </w:r>
    </w:p>
    <w:p w:rsidR="001576F4" w:rsidRDefault="001576F4" w:rsidP="004E6E99">
      <w:pPr>
        <w:spacing w:line="-300" w:lineRule="auto"/>
        <w:ind w:right="-18"/>
        <w:rPr>
          <w:rFonts w:ascii="Times New Roman" w:hAnsi="Times New Roman"/>
          <w:sz w:val="26"/>
        </w:rPr>
      </w:pPr>
    </w:p>
    <w:p w:rsidR="00127AAA" w:rsidRDefault="001576F4" w:rsidP="004E6E99">
      <w:pPr>
        <w:tabs>
          <w:tab w:val="left" w:pos="576"/>
          <w:tab w:val="left" w:pos="1296"/>
          <w:tab w:val="left" w:pos="2016"/>
          <w:tab w:val="left" w:pos="2736"/>
          <w:tab w:val="left" w:pos="3456"/>
        </w:tabs>
        <w:spacing w:line="-300" w:lineRule="auto"/>
        <w:ind w:right="-18"/>
        <w:jc w:val="center"/>
        <w:rPr>
          <w:rFonts w:ascii="Times New Roman" w:hAnsi="Times New Roman"/>
          <w:smallCaps/>
          <w:sz w:val="26"/>
          <w:u w:val="single"/>
        </w:rPr>
      </w:pPr>
      <w:r>
        <w:rPr>
          <w:rFonts w:ascii="Times New Roman" w:hAnsi="Times New Roman"/>
          <w:smallCaps/>
          <w:sz w:val="26"/>
          <w:u w:val="single"/>
        </w:rPr>
        <w:t xml:space="preserve">Agreement to Utilize the </w:t>
      </w:r>
    </w:p>
    <w:p w:rsidR="001576F4" w:rsidRDefault="00127AAA" w:rsidP="004E6E99">
      <w:pPr>
        <w:tabs>
          <w:tab w:val="left" w:pos="576"/>
          <w:tab w:val="left" w:pos="1296"/>
          <w:tab w:val="left" w:pos="2016"/>
          <w:tab w:val="left" w:pos="2736"/>
          <w:tab w:val="left" w:pos="3456"/>
        </w:tabs>
        <w:spacing w:line="-300" w:lineRule="auto"/>
        <w:ind w:right="-18"/>
        <w:jc w:val="center"/>
        <w:rPr>
          <w:rFonts w:ascii="Times New Roman" w:hAnsi="Times New Roman"/>
          <w:smallCaps/>
          <w:sz w:val="26"/>
          <w:u w:val="single"/>
        </w:rPr>
      </w:pPr>
      <w:r>
        <w:rPr>
          <w:rFonts w:ascii="Times New Roman" w:hAnsi="Times New Roman"/>
          <w:smallCaps/>
          <w:sz w:val="26"/>
          <w:u w:val="single"/>
        </w:rPr>
        <w:t>Summary Proceeding with Binding Decision</w:t>
      </w:r>
      <w:r w:rsidR="001576F4">
        <w:rPr>
          <w:rFonts w:ascii="Times New Roman" w:hAnsi="Times New Roman"/>
          <w:smallCaps/>
          <w:sz w:val="26"/>
          <w:u w:val="single"/>
        </w:rPr>
        <w:t xml:space="preserve"> Procedure</w:t>
      </w:r>
    </w:p>
    <w:p w:rsidR="001576F4" w:rsidRDefault="001576F4" w:rsidP="004E6E99">
      <w:pPr>
        <w:tabs>
          <w:tab w:val="left" w:pos="576"/>
          <w:tab w:val="left" w:pos="1296"/>
          <w:tab w:val="left" w:pos="2016"/>
          <w:tab w:val="left" w:pos="2736"/>
          <w:tab w:val="left" w:pos="3456"/>
        </w:tabs>
        <w:spacing w:line="-300" w:lineRule="auto"/>
        <w:ind w:right="-18"/>
        <w:jc w:val="center"/>
        <w:rPr>
          <w:rFonts w:ascii="Times New Roman" w:hAnsi="Times New Roman"/>
          <w:smallCaps/>
          <w:sz w:val="26"/>
          <w:u w:val="single"/>
        </w:rPr>
      </w:pPr>
      <w:r>
        <w:rPr>
          <w:rFonts w:ascii="Times New Roman" w:hAnsi="Times New Roman"/>
          <w:smallCaps/>
          <w:sz w:val="26"/>
          <w:u w:val="single"/>
        </w:rPr>
        <w:t>Under Addendum II of the ASBCA’s Rules</w:t>
      </w:r>
    </w:p>
    <w:p w:rsidR="001576F4" w:rsidRDefault="001576F4" w:rsidP="004E6E99">
      <w:pPr>
        <w:tabs>
          <w:tab w:val="left" w:pos="576"/>
          <w:tab w:val="left" w:pos="1296"/>
          <w:tab w:val="left" w:pos="2016"/>
          <w:tab w:val="left" w:pos="2736"/>
          <w:tab w:val="left" w:pos="3456"/>
        </w:tabs>
        <w:spacing w:line="-300" w:lineRule="auto"/>
        <w:ind w:right="-18"/>
        <w:jc w:val="center"/>
        <w:rPr>
          <w:rFonts w:ascii="Times New Roman" w:hAnsi="Times New Roman"/>
          <w:smallCaps/>
          <w:sz w:val="26"/>
          <w:u w:val="single"/>
        </w:rPr>
      </w:pPr>
      <w:r>
        <w:rPr>
          <w:rFonts w:ascii="Times New Roman" w:hAnsi="Times New Roman"/>
          <w:smallCaps/>
          <w:sz w:val="26"/>
          <w:u w:val="single"/>
        </w:rPr>
        <w:t>(revised 21 July 2014):  Alternative Methods of Dispute Resolution</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Pr="00E24BF8" w:rsidRDefault="001576F4" w:rsidP="00E24BF8">
      <w:pPr>
        <w:tabs>
          <w:tab w:val="left" w:pos="576"/>
          <w:tab w:val="left" w:pos="1296"/>
          <w:tab w:val="left" w:pos="2016"/>
          <w:tab w:val="left" w:pos="2736"/>
          <w:tab w:val="left" w:pos="3456"/>
          <w:tab w:val="left" w:pos="5670"/>
          <w:tab w:val="left" w:pos="6390"/>
          <w:tab w:val="right" w:pos="8910"/>
        </w:tabs>
        <w:spacing w:line="-300" w:lineRule="auto"/>
        <w:ind w:right="-18"/>
        <w:rPr>
          <w:rFonts w:ascii="Times New Roman" w:hAnsi="Times New Roman"/>
          <w:sz w:val="26"/>
          <w:u w:val="single"/>
        </w:rPr>
      </w:pPr>
      <w:r>
        <w:rPr>
          <w:rFonts w:ascii="Times New Roman" w:hAnsi="Times New Roman"/>
          <w:sz w:val="26"/>
        </w:rPr>
        <w:tab/>
        <w:t>THIS A</w:t>
      </w:r>
      <w:r w:rsidR="004E6E99">
        <w:rPr>
          <w:rFonts w:ascii="Times New Roman" w:hAnsi="Times New Roman"/>
          <w:sz w:val="26"/>
        </w:rPr>
        <w:t xml:space="preserve">GREEMENT is entered into by and </w:t>
      </w:r>
      <w:r>
        <w:rPr>
          <w:rFonts w:ascii="Times New Roman" w:hAnsi="Times New Roman"/>
          <w:sz w:val="26"/>
        </w:rPr>
        <w:t>between</w:t>
      </w:r>
      <w:r w:rsidR="00951257">
        <w:rPr>
          <w:rFonts w:ascii="Times New Roman" w:hAnsi="Times New Roman"/>
          <w:sz w:val="26"/>
        </w:rPr>
        <w:t xml:space="preserve"> </w:t>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rPr>
        <w:t xml:space="preserve"> </w:t>
      </w:r>
      <w:r w:rsidR="00E24BF8">
        <w:rPr>
          <w:rFonts w:ascii="Times New Roman" w:hAnsi="Times New Roman"/>
          <w:sz w:val="26"/>
          <w:u w:val="single"/>
        </w:rPr>
        <w:tab/>
      </w:r>
      <w:r>
        <w:rPr>
          <w:rFonts w:ascii="Times New Roman" w:hAnsi="Times New Roman"/>
          <w:sz w:val="26"/>
        </w:rPr>
        <w:t>(hereinafter “appellant”) and the Department of</w:t>
      </w:r>
      <w:r w:rsidR="00E24BF8">
        <w:rPr>
          <w:rFonts w:ascii="Times New Roman" w:hAnsi="Times New Roman"/>
          <w:sz w:val="26"/>
        </w:rPr>
        <w:t xml:space="preserve"> </w:t>
      </w:r>
      <w:r w:rsidR="00E24BF8" w:rsidRP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u w:val="single"/>
        </w:rPr>
        <w:tab/>
      </w:r>
      <w:r w:rsidR="00E24BF8">
        <w:rPr>
          <w:rFonts w:ascii="Times New Roman" w:hAnsi="Times New Roman"/>
          <w:sz w:val="26"/>
        </w:rPr>
        <w:t xml:space="preserve"> </w:t>
      </w:r>
      <w:r>
        <w:rPr>
          <w:rFonts w:ascii="Times New Roman" w:hAnsi="Times New Roman"/>
          <w:sz w:val="26"/>
        </w:rPr>
        <w:t>(hereinafter “the government”).</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3B6E4B">
      <w:pPr>
        <w:tabs>
          <w:tab w:val="left" w:pos="576"/>
          <w:tab w:val="left" w:pos="1296"/>
          <w:tab w:val="left" w:pos="2016"/>
          <w:tab w:val="left" w:pos="2736"/>
          <w:tab w:val="left" w:pos="3456"/>
          <w:tab w:val="right" w:pos="9090"/>
        </w:tabs>
        <w:spacing w:line="-300" w:lineRule="auto"/>
        <w:ind w:right="-18"/>
        <w:rPr>
          <w:rFonts w:ascii="Times New Roman" w:hAnsi="Times New Roman"/>
          <w:sz w:val="26"/>
        </w:rPr>
      </w:pPr>
      <w:r>
        <w:rPr>
          <w:rFonts w:ascii="Times New Roman" w:hAnsi="Times New Roman"/>
          <w:sz w:val="26"/>
        </w:rPr>
        <w:tab/>
        <w:t>WHEREAS, appellant and the government entered into Contract No.</w:t>
      </w:r>
      <w:r w:rsidR="003B6E4B">
        <w:rPr>
          <w:rFonts w:ascii="Times New Roman" w:hAnsi="Times New Roman"/>
          <w:sz w:val="26"/>
        </w:rPr>
        <w:t> </w:t>
      </w:r>
      <w:r w:rsidR="003B6E4B">
        <w:rPr>
          <w:rFonts w:ascii="Times New Roman" w:hAnsi="Times New Roman"/>
          <w:sz w:val="26"/>
          <w:u w:val="single"/>
        </w:rPr>
        <w:tab/>
      </w:r>
      <w:r w:rsidR="003B6E4B">
        <w:rPr>
          <w:rFonts w:ascii="Times New Roman" w:hAnsi="Times New Roman"/>
          <w:sz w:val="26"/>
          <w:u w:val="single"/>
        </w:rPr>
        <w:tab/>
      </w:r>
      <w:r w:rsidR="003B6E4B">
        <w:rPr>
          <w:rFonts w:ascii="Times New Roman" w:hAnsi="Times New Roman"/>
          <w:sz w:val="26"/>
          <w:u w:val="single"/>
        </w:rPr>
        <w:tab/>
      </w:r>
      <w:r w:rsidR="003B6E4B">
        <w:rPr>
          <w:rFonts w:ascii="Times New Roman" w:hAnsi="Times New Roman"/>
          <w:sz w:val="26"/>
          <w:u w:val="single"/>
        </w:rPr>
        <w:tab/>
      </w:r>
      <w:r w:rsidR="003B6E4B">
        <w:rPr>
          <w:rFonts w:ascii="Times New Roman" w:hAnsi="Times New Roman"/>
          <w:sz w:val="26"/>
          <w:u w:val="single"/>
        </w:rPr>
        <w:tab/>
      </w:r>
      <w:r w:rsidR="003B6E4B">
        <w:rPr>
          <w:rFonts w:ascii="Times New Roman" w:hAnsi="Times New Roman"/>
          <w:sz w:val="26"/>
          <w:u w:val="single"/>
        </w:rPr>
        <w:tab/>
      </w:r>
      <w:r>
        <w:rPr>
          <w:rFonts w:ascii="Times New Roman" w:hAnsi="Times New Roman"/>
          <w:sz w:val="26"/>
        </w:rPr>
        <w:t xml:space="preserve">; </w:t>
      </w:r>
      <w:proofErr w:type="gramStart"/>
      <w:r>
        <w:rPr>
          <w:rFonts w:ascii="Times New Roman" w:hAnsi="Times New Roman"/>
          <w:sz w:val="26"/>
        </w:rPr>
        <w:t>and</w:t>
      </w:r>
      <w:proofErr w:type="gramEnd"/>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WHEREAS, appellant filed with the Armed Services Board of Contract Appeals (hereinafter the “ASBCA”) an appeal under said contract; and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Pr="002913B6" w:rsidRDefault="001576F4" w:rsidP="003B6E4B">
      <w:pPr>
        <w:tabs>
          <w:tab w:val="left" w:pos="576"/>
          <w:tab w:val="left" w:pos="1296"/>
          <w:tab w:val="left" w:pos="2016"/>
          <w:tab w:val="left" w:pos="2736"/>
          <w:tab w:val="left" w:pos="3456"/>
          <w:tab w:val="right" w:pos="9090"/>
        </w:tabs>
        <w:spacing w:line="-300" w:lineRule="auto"/>
        <w:ind w:right="-18"/>
        <w:rPr>
          <w:rFonts w:ascii="Times New Roman" w:hAnsi="Times New Roman"/>
          <w:sz w:val="26"/>
          <w:u w:val="single"/>
        </w:rPr>
      </w:pPr>
      <w:r>
        <w:rPr>
          <w:rFonts w:ascii="Times New Roman" w:hAnsi="Times New Roman"/>
          <w:sz w:val="26"/>
        </w:rPr>
        <w:tab/>
        <w:t>WHEREAS, said appeal is designated ASBCA No.</w:t>
      </w:r>
      <w:r w:rsidR="003B6E4B">
        <w:rPr>
          <w:rFonts w:ascii="Times New Roman" w:hAnsi="Times New Roman"/>
          <w:sz w:val="26"/>
        </w:rPr>
        <w:t xml:space="preserve"> </w:t>
      </w:r>
      <w:r w:rsidR="003B6E4B">
        <w:rPr>
          <w:rFonts w:ascii="Times New Roman" w:hAnsi="Times New Roman"/>
          <w:sz w:val="26"/>
          <w:u w:val="single"/>
        </w:rPr>
        <w:tab/>
      </w:r>
      <w:r>
        <w:rPr>
          <w:rFonts w:ascii="Times New Roman" w:hAnsi="Times New Roman"/>
          <w:sz w:val="26"/>
        </w:rPr>
        <w:t xml:space="preserve">; </w:t>
      </w:r>
      <w:proofErr w:type="gramStart"/>
      <w:r>
        <w:rPr>
          <w:rFonts w:ascii="Times New Roman" w:hAnsi="Times New Roman"/>
          <w:sz w:val="26"/>
        </w:rPr>
        <w:t>and</w:t>
      </w:r>
      <w:proofErr w:type="gramEnd"/>
    </w:p>
    <w:p w:rsidR="001576F4" w:rsidRDefault="001576F4" w:rsidP="002913B6">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F95EBD">
      <w:pPr>
        <w:tabs>
          <w:tab w:val="left" w:pos="576"/>
          <w:tab w:val="left" w:pos="1080"/>
          <w:tab w:val="left" w:pos="1296"/>
          <w:tab w:val="left" w:pos="2016"/>
          <w:tab w:val="left" w:pos="2736"/>
          <w:tab w:val="left" w:pos="4320"/>
          <w:tab w:val="left" w:pos="4860"/>
          <w:tab w:val="left" w:pos="6210"/>
          <w:tab w:val="left" w:pos="8550"/>
        </w:tabs>
        <w:spacing w:line="-300" w:lineRule="auto"/>
        <w:ind w:right="-18"/>
        <w:rPr>
          <w:rFonts w:ascii="Times New Roman" w:hAnsi="Times New Roman"/>
          <w:sz w:val="26"/>
        </w:rPr>
      </w:pPr>
      <w:r>
        <w:rPr>
          <w:rFonts w:ascii="Times New Roman" w:hAnsi="Times New Roman"/>
          <w:sz w:val="26"/>
        </w:rPr>
        <w:tab/>
        <w:t>WHEREAS, ASBCA No.</w:t>
      </w:r>
      <w:r w:rsidR="002913B6">
        <w:rPr>
          <w:rFonts w:ascii="Times New Roman" w:hAnsi="Times New Roman"/>
          <w:sz w:val="26"/>
        </w:rPr>
        <w:t xml:space="preserve"> </w:t>
      </w:r>
      <w:r w:rsidR="002913B6">
        <w:rPr>
          <w:rFonts w:ascii="Times New Roman" w:hAnsi="Times New Roman"/>
          <w:sz w:val="26"/>
          <w:u w:val="single"/>
        </w:rPr>
        <w:tab/>
      </w:r>
      <w:r w:rsidR="002913B6">
        <w:rPr>
          <w:rFonts w:ascii="Times New Roman" w:hAnsi="Times New Roman"/>
          <w:sz w:val="26"/>
          <w:u w:val="single"/>
        </w:rPr>
        <w:tab/>
      </w:r>
      <w:r w:rsidR="00127AAA">
        <w:rPr>
          <w:rFonts w:ascii="Times New Roman" w:hAnsi="Times New Roman"/>
          <w:sz w:val="26"/>
          <w:u w:val="single"/>
        </w:rPr>
        <w:tab/>
      </w:r>
      <w:r w:rsidR="002913B6">
        <w:rPr>
          <w:rFonts w:ascii="Times New Roman" w:hAnsi="Times New Roman"/>
          <w:sz w:val="26"/>
        </w:rPr>
        <w:t xml:space="preserve"> </w:t>
      </w:r>
      <w:proofErr w:type="gramStart"/>
      <w:r>
        <w:rPr>
          <w:rFonts w:ascii="Times New Roman" w:hAnsi="Times New Roman"/>
          <w:sz w:val="26"/>
        </w:rPr>
        <w:t>involves</w:t>
      </w:r>
      <w:proofErr w:type="gramEnd"/>
      <w:r>
        <w:rPr>
          <w:rFonts w:ascii="Times New Roman" w:hAnsi="Times New Roman"/>
          <w:sz w:val="26"/>
        </w:rPr>
        <w:t xml:space="preserve"> claims by </w:t>
      </w:r>
      <w:r w:rsidR="00127AAA">
        <w:rPr>
          <w:rFonts w:ascii="Times New Roman" w:hAnsi="Times New Roman"/>
          <w:sz w:val="26"/>
          <w:u w:val="single"/>
        </w:rPr>
        <w:t xml:space="preserve">[appellant / </w:t>
      </w:r>
      <w:r>
        <w:rPr>
          <w:rFonts w:ascii="Times New Roman" w:hAnsi="Times New Roman"/>
          <w:sz w:val="26"/>
          <w:u w:val="single"/>
        </w:rPr>
        <w:t xml:space="preserve">the government </w:t>
      </w:r>
      <w:r w:rsidR="00127AAA">
        <w:rPr>
          <w:rFonts w:ascii="Times New Roman" w:hAnsi="Times New Roman"/>
          <w:sz w:val="26"/>
          <w:u w:val="single"/>
        </w:rPr>
        <w:t>for</w:t>
      </w:r>
      <w:r w:rsidR="00127AAA">
        <w:rPr>
          <w:rFonts w:ascii="Times New Roman" w:hAnsi="Times New Roman"/>
          <w:sz w:val="26"/>
          <w:u w:val="single"/>
        </w:rPr>
        <w:tab/>
      </w:r>
      <w:r w:rsidR="00127AAA">
        <w:rPr>
          <w:rFonts w:ascii="Times New Roman" w:hAnsi="Times New Roman"/>
          <w:sz w:val="26"/>
          <w:u w:val="single"/>
        </w:rPr>
        <w:tab/>
      </w:r>
      <w:r>
        <w:rPr>
          <w:rFonts w:ascii="Times New Roman" w:hAnsi="Times New Roman"/>
          <w:sz w:val="26"/>
          <w:u w:val="single"/>
        </w:rPr>
        <w:t>]</w:t>
      </w:r>
      <w:r>
        <w:rPr>
          <w:rFonts w:ascii="Times New Roman" w:hAnsi="Times New Roman"/>
          <w:sz w:val="26"/>
        </w:rPr>
        <w:t xml:space="preserve"> in the amount of $</w:t>
      </w:r>
      <w:r w:rsidR="002913B6">
        <w:rPr>
          <w:rFonts w:ascii="Times New Roman" w:hAnsi="Times New Roman"/>
          <w:sz w:val="26"/>
          <w:u w:val="single"/>
        </w:rPr>
        <w:tab/>
      </w:r>
      <w:r>
        <w:rPr>
          <w:rFonts w:ascii="Times New Roman" w:hAnsi="Times New Roman"/>
          <w:sz w:val="26"/>
        </w:rPr>
        <w:t>; and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WHEREAS, the parties wish to resolve the appeal by alternative dispute resolution, specifically </w:t>
      </w:r>
      <w:r w:rsidR="00D45358">
        <w:rPr>
          <w:rFonts w:ascii="Times New Roman" w:hAnsi="Times New Roman"/>
          <w:sz w:val="26"/>
        </w:rPr>
        <w:t>by summary proceeding with binding decision</w:t>
      </w:r>
      <w:r>
        <w:rPr>
          <w:rFonts w:ascii="Times New Roman" w:hAnsi="Times New Roman"/>
          <w:sz w:val="26"/>
        </w:rPr>
        <w:t>; and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WHEREAS, the ASBCA is authorized to resolve </w:t>
      </w:r>
      <w:r w:rsidR="008D53D9">
        <w:rPr>
          <w:rFonts w:ascii="Times New Roman" w:hAnsi="Times New Roman"/>
          <w:sz w:val="26"/>
        </w:rPr>
        <w:t>disputes by alternative dispute</w:t>
      </w:r>
      <w:r>
        <w:rPr>
          <w:rFonts w:ascii="Times New Roman" w:hAnsi="Times New Roman"/>
          <w:sz w:val="26"/>
        </w:rPr>
        <w:t xml:space="preserve"> resolution under its Charter; and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NOW THEREFORE, the parties mutually stipulate and agree as follows:  </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947916">
      <w:pPr>
        <w:tabs>
          <w:tab w:val="left" w:pos="576"/>
          <w:tab w:val="left" w:pos="1296"/>
          <w:tab w:val="left" w:pos="2016"/>
          <w:tab w:val="left" w:pos="2736"/>
          <w:tab w:val="left" w:pos="3456"/>
          <w:tab w:val="left" w:pos="4860"/>
          <w:tab w:val="left" w:pos="9090"/>
        </w:tabs>
        <w:spacing w:line="-300" w:lineRule="auto"/>
        <w:ind w:right="-18"/>
        <w:rPr>
          <w:rFonts w:ascii="Times New Roman" w:hAnsi="Times New Roman"/>
          <w:sz w:val="26"/>
        </w:rPr>
      </w:pPr>
      <w:r>
        <w:rPr>
          <w:rFonts w:ascii="Times New Roman" w:hAnsi="Times New Roman"/>
          <w:sz w:val="26"/>
        </w:rPr>
        <w:tab/>
        <w:t xml:space="preserve">1. </w:t>
      </w:r>
      <w:r w:rsidR="004E1829">
        <w:rPr>
          <w:rFonts w:ascii="Times New Roman" w:hAnsi="Times New Roman"/>
          <w:sz w:val="26"/>
        </w:rPr>
        <w:t xml:space="preserve"> Motion practice in this appeal is waived</w:t>
      </w:r>
      <w:r>
        <w:rPr>
          <w:rFonts w:ascii="Times New Roman" w:hAnsi="Times New Roman"/>
          <w:sz w:val="26"/>
        </w:rPr>
        <w:t>.</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Pr="004E1829" w:rsidRDefault="001576F4" w:rsidP="004E1829">
      <w:pPr>
        <w:tabs>
          <w:tab w:val="left" w:pos="576"/>
          <w:tab w:val="left" w:pos="1296"/>
          <w:tab w:val="left" w:pos="2016"/>
          <w:tab w:val="left" w:pos="2736"/>
          <w:tab w:val="left" w:pos="3456"/>
          <w:tab w:val="left" w:pos="9000"/>
        </w:tabs>
        <w:spacing w:line="-300" w:lineRule="auto"/>
        <w:ind w:right="-18"/>
        <w:rPr>
          <w:rFonts w:ascii="Times New Roman" w:hAnsi="Times New Roman"/>
          <w:sz w:val="26"/>
        </w:rPr>
      </w:pPr>
      <w:r>
        <w:rPr>
          <w:rFonts w:ascii="Times New Roman" w:hAnsi="Times New Roman"/>
          <w:sz w:val="26"/>
        </w:rPr>
        <w:tab/>
        <w:t xml:space="preserve">2.  </w:t>
      </w:r>
      <w:r w:rsidR="004E1829">
        <w:rPr>
          <w:rFonts w:ascii="Times New Roman" w:hAnsi="Times New Roman"/>
          <w:sz w:val="26"/>
        </w:rPr>
        <w:t xml:space="preserve">Discovery will be concluded by </w:t>
      </w:r>
      <w:r w:rsidR="004E1829">
        <w:rPr>
          <w:rFonts w:ascii="Times New Roman" w:hAnsi="Times New Roman"/>
          <w:sz w:val="26"/>
          <w:u w:val="single"/>
        </w:rPr>
        <w:tab/>
      </w:r>
      <w:r w:rsidR="004E1829">
        <w:rPr>
          <w:rFonts w:ascii="Times New Roman" w:hAnsi="Times New Roman"/>
          <w:sz w:val="26"/>
        </w:rPr>
        <w:t>.</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504878"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3.  </w:t>
      </w:r>
      <w:r w:rsidR="004E1829" w:rsidRPr="004E1829">
        <w:rPr>
          <w:rFonts w:ascii="Times New Roman" w:hAnsi="Times New Roman"/>
          <w:sz w:val="26"/>
        </w:rPr>
        <w:t>The documentary</w:t>
      </w:r>
      <w:r w:rsidR="004E1829">
        <w:rPr>
          <w:rFonts w:ascii="Times New Roman" w:hAnsi="Times New Roman"/>
          <w:sz w:val="26"/>
        </w:rPr>
        <w:t xml:space="preserve"> record will be limited to those documents which have been submitted, identified, and indexed pursuant to Board Rule</w:t>
      </w:r>
      <w:r w:rsidR="00504878">
        <w:rPr>
          <w:rFonts w:ascii="Times New Roman" w:hAnsi="Times New Roman"/>
          <w:sz w:val="26"/>
        </w:rPr>
        <w:t xml:space="preserve"> 4 or as exhibits no later than </w:t>
      </w:r>
    </w:p>
    <w:p w:rsidR="001576F4" w:rsidRDefault="00504878" w:rsidP="00504878">
      <w:pPr>
        <w:tabs>
          <w:tab w:val="left" w:pos="576"/>
          <w:tab w:val="left" w:pos="1296"/>
          <w:tab w:val="left" w:pos="2016"/>
          <w:tab w:val="left" w:pos="2736"/>
          <w:tab w:val="left" w:pos="3456"/>
          <w:tab w:val="left" w:pos="5040"/>
        </w:tabs>
        <w:spacing w:line="-300" w:lineRule="auto"/>
        <w:ind w:right="-18"/>
        <w:rPr>
          <w:rFonts w:ascii="Times New Roman" w:hAnsi="Times New Roman"/>
          <w:sz w:val="26"/>
        </w:rPr>
      </w:pPr>
      <w:r>
        <w:rPr>
          <w:rFonts w:ascii="Times New Roman" w:hAnsi="Times New Roman"/>
          <w:sz w:val="26"/>
          <w:u w:val="single"/>
        </w:rPr>
        <w:tab/>
      </w:r>
      <w:r>
        <w:rPr>
          <w:rFonts w:ascii="Times New Roman" w:hAnsi="Times New Roman"/>
          <w:sz w:val="26"/>
          <w:u w:val="single"/>
        </w:rPr>
        <w:tab/>
      </w:r>
      <w:r>
        <w:rPr>
          <w:rFonts w:ascii="Times New Roman" w:hAnsi="Times New Roman"/>
          <w:sz w:val="26"/>
          <w:u w:val="single"/>
        </w:rPr>
        <w:tab/>
      </w:r>
      <w:r>
        <w:rPr>
          <w:rFonts w:ascii="Times New Roman" w:hAnsi="Times New Roman"/>
          <w:sz w:val="26"/>
          <w:u w:val="single"/>
        </w:rPr>
        <w:tab/>
      </w:r>
      <w:r>
        <w:rPr>
          <w:rFonts w:ascii="Times New Roman" w:hAnsi="Times New Roman"/>
          <w:sz w:val="26"/>
          <w:u w:val="single"/>
        </w:rPr>
        <w:tab/>
      </w:r>
      <w:r>
        <w:rPr>
          <w:rFonts w:ascii="Times New Roman" w:hAnsi="Times New Roman"/>
          <w:sz w:val="26"/>
          <w:u w:val="single"/>
        </w:rPr>
        <w:tab/>
      </w:r>
      <w:r>
        <w:rPr>
          <w:rFonts w:ascii="Times New Roman" w:hAnsi="Times New Roman"/>
          <w:sz w:val="26"/>
        </w:rPr>
        <w:t xml:space="preserve">. </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504878"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r>
      <w:r w:rsidR="00B0622D">
        <w:rPr>
          <w:rFonts w:ascii="Times New Roman" w:hAnsi="Times New Roman"/>
          <w:sz w:val="26"/>
        </w:rPr>
        <w:t>[NOTE</w:t>
      </w:r>
      <w:r w:rsidR="00504878">
        <w:rPr>
          <w:rFonts w:ascii="Times New Roman" w:hAnsi="Times New Roman"/>
          <w:sz w:val="26"/>
        </w:rPr>
        <w:t>:  If the parties seek an oral hearing on the appeal, ¶¶ 4-11 should be considered.  The parties may agree to have the appeal decided on the documentary record.  If so, appropriate procedures may be set forth in alternative paragraphs.]</w:t>
      </w:r>
    </w:p>
    <w:p w:rsidR="00504878" w:rsidRDefault="00504878"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Pr="00504878" w:rsidRDefault="00504878" w:rsidP="00504878">
      <w:pPr>
        <w:tabs>
          <w:tab w:val="left" w:pos="576"/>
          <w:tab w:val="left" w:pos="1296"/>
          <w:tab w:val="left" w:pos="2016"/>
          <w:tab w:val="left" w:pos="2736"/>
          <w:tab w:val="left" w:pos="3456"/>
          <w:tab w:val="left" w:pos="9090"/>
        </w:tabs>
        <w:spacing w:line="-300" w:lineRule="auto"/>
        <w:ind w:right="-18"/>
        <w:rPr>
          <w:rFonts w:ascii="Times New Roman" w:hAnsi="Times New Roman"/>
          <w:sz w:val="26"/>
        </w:rPr>
      </w:pPr>
      <w:r>
        <w:rPr>
          <w:rFonts w:ascii="Times New Roman" w:hAnsi="Times New Roman"/>
          <w:sz w:val="26"/>
        </w:rPr>
        <w:tab/>
      </w:r>
      <w:r w:rsidR="001576F4">
        <w:rPr>
          <w:rFonts w:ascii="Times New Roman" w:hAnsi="Times New Roman"/>
          <w:sz w:val="26"/>
        </w:rPr>
        <w:t xml:space="preserve">4.  </w:t>
      </w:r>
      <w:r>
        <w:rPr>
          <w:rFonts w:ascii="Times New Roman" w:hAnsi="Times New Roman"/>
          <w:sz w:val="26"/>
        </w:rPr>
        <w:t xml:space="preserve">Each party’s hearing presentation will be limited to </w:t>
      </w:r>
      <w:r>
        <w:rPr>
          <w:rFonts w:ascii="Times New Roman" w:hAnsi="Times New Roman"/>
          <w:sz w:val="26"/>
          <w:u w:val="single"/>
        </w:rPr>
        <w:tab/>
      </w:r>
      <w:r>
        <w:rPr>
          <w:rFonts w:ascii="Times New Roman" w:hAnsi="Times New Roman"/>
          <w:sz w:val="26"/>
        </w:rPr>
        <w:t xml:space="preserve"> [hours / days], including time for examination of witnesses, presentation of rebuttal evidence, and oral argument, if any.</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5.  </w:t>
      </w:r>
      <w:r w:rsidR="00492030">
        <w:rPr>
          <w:rFonts w:ascii="Times New Roman" w:hAnsi="Times New Roman"/>
          <w:sz w:val="26"/>
        </w:rPr>
        <w:t>The appeal shall be tried informally, and the rules of evidence are waived.  The parties agree, nonetheless, that the presiding judge shall retain discretion to limit evidence where necessary for the reasonable conduct of the hearing.</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6.  </w:t>
      </w:r>
      <w:r w:rsidR="00492030">
        <w:rPr>
          <w:rFonts w:ascii="Times New Roman" w:hAnsi="Times New Roman"/>
          <w:sz w:val="26"/>
        </w:rPr>
        <w:t xml:space="preserve">Witnesses shall be examined orally under oath or affirmation.  A party shall </w:t>
      </w:r>
      <w:bookmarkStart w:id="0" w:name="_GoBack"/>
      <w:bookmarkEnd w:id="0"/>
      <w:r w:rsidR="00492030">
        <w:rPr>
          <w:rFonts w:ascii="Times New Roman" w:hAnsi="Times New Roman"/>
          <w:sz w:val="26"/>
        </w:rPr>
        <w:t>be allowed to cross-examine the adverse party’s witnesses.</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492030"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7.  </w:t>
      </w:r>
      <w:r w:rsidR="00492030">
        <w:rPr>
          <w:rFonts w:ascii="Times New Roman" w:hAnsi="Times New Roman"/>
          <w:sz w:val="26"/>
        </w:rPr>
        <w:t>Pre- and post-hea</w:t>
      </w:r>
      <w:r w:rsidR="00B0622D">
        <w:rPr>
          <w:rFonts w:ascii="Times New Roman" w:hAnsi="Times New Roman"/>
          <w:sz w:val="26"/>
        </w:rPr>
        <w:t>ring briefs are waived.  [NOTE</w:t>
      </w:r>
      <w:r w:rsidR="00492030">
        <w:rPr>
          <w:rFonts w:ascii="Times New Roman" w:hAnsi="Times New Roman"/>
          <w:sz w:val="26"/>
        </w:rPr>
        <w:t>:  A very brief (3 to 5 pages) prehearing submission is often useful to the presiding judge.]</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lastRenderedPageBreak/>
        <w:tab/>
        <w:t xml:space="preserve">8.  </w:t>
      </w:r>
      <w:r w:rsidR="006E4D63">
        <w:rPr>
          <w:rFonts w:ascii="Times New Roman" w:hAnsi="Times New Roman"/>
          <w:sz w:val="26"/>
        </w:rPr>
        <w:t>[Mandatory when the parties seek an oral hearing</w:t>
      </w:r>
      <w:proofErr w:type="gramStart"/>
      <w:r w:rsidR="006E4D63">
        <w:rPr>
          <w:rFonts w:ascii="Times New Roman" w:hAnsi="Times New Roman"/>
          <w:sz w:val="26"/>
        </w:rPr>
        <w:t xml:space="preserve">]  </w:t>
      </w:r>
      <w:r w:rsidR="005265B0">
        <w:rPr>
          <w:rFonts w:ascii="Times New Roman" w:hAnsi="Times New Roman"/>
          <w:sz w:val="26"/>
        </w:rPr>
        <w:t>A</w:t>
      </w:r>
      <w:proofErr w:type="gramEnd"/>
      <w:r w:rsidR="005265B0">
        <w:rPr>
          <w:rFonts w:ascii="Times New Roman" w:hAnsi="Times New Roman"/>
          <w:sz w:val="26"/>
        </w:rPr>
        <w:t xml:space="preserve"> transcript of the proceedings will be prepared.</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Pr="005265B0" w:rsidRDefault="001576F4" w:rsidP="00672AC9">
      <w:pPr>
        <w:tabs>
          <w:tab w:val="left" w:pos="576"/>
          <w:tab w:val="left" w:pos="1296"/>
          <w:tab w:val="left" w:pos="2016"/>
          <w:tab w:val="left" w:pos="2736"/>
          <w:tab w:val="left" w:pos="5040"/>
          <w:tab w:val="left" w:pos="7920"/>
          <w:tab w:val="left" w:pos="8640"/>
        </w:tabs>
        <w:spacing w:line="-300" w:lineRule="auto"/>
        <w:ind w:right="-18"/>
        <w:rPr>
          <w:rFonts w:ascii="Times New Roman" w:hAnsi="Times New Roman"/>
          <w:sz w:val="26"/>
        </w:rPr>
      </w:pPr>
      <w:r>
        <w:rPr>
          <w:rFonts w:ascii="Times New Roman" w:hAnsi="Times New Roman"/>
          <w:sz w:val="26"/>
        </w:rPr>
        <w:tab/>
        <w:t xml:space="preserve">9.  </w:t>
      </w:r>
      <w:r w:rsidR="005265B0">
        <w:rPr>
          <w:rFonts w:ascii="Times New Roman" w:hAnsi="Times New Roman"/>
          <w:sz w:val="26"/>
        </w:rPr>
        <w:t xml:space="preserve">The hearing on this appeal is scheduled for </w:t>
      </w:r>
      <w:r w:rsidR="005265B0">
        <w:rPr>
          <w:rFonts w:ascii="Times New Roman" w:hAnsi="Times New Roman"/>
          <w:sz w:val="26"/>
          <w:u w:val="single"/>
        </w:rPr>
        <w:tab/>
      </w:r>
      <w:r w:rsidR="005265B0">
        <w:rPr>
          <w:rFonts w:ascii="Times New Roman" w:hAnsi="Times New Roman"/>
          <w:sz w:val="26"/>
        </w:rPr>
        <w:t xml:space="preserve"> day(s), namely</w:t>
      </w:r>
      <w:proofErr w:type="gramStart"/>
      <w:r w:rsidR="005265B0">
        <w:rPr>
          <w:rFonts w:ascii="Times New Roman" w:hAnsi="Times New Roman"/>
          <w:sz w:val="26"/>
        </w:rPr>
        <w:t xml:space="preserve">:  </w:t>
      </w:r>
      <w:r w:rsidR="00672AC9">
        <w:rPr>
          <w:rFonts w:ascii="Times New Roman" w:hAnsi="Times New Roman"/>
          <w:sz w:val="26"/>
          <w:u w:val="single"/>
        </w:rPr>
        <w:tab/>
      </w:r>
      <w:r w:rsidR="00672AC9">
        <w:rPr>
          <w:rFonts w:ascii="Times New Roman" w:hAnsi="Times New Roman"/>
          <w:sz w:val="26"/>
          <w:u w:val="single"/>
        </w:rPr>
        <w:tab/>
      </w:r>
      <w:r w:rsidR="005265B0">
        <w:rPr>
          <w:rFonts w:ascii="Times New Roman" w:hAnsi="Times New Roman"/>
          <w:sz w:val="26"/>
          <w:u w:val="single"/>
        </w:rPr>
        <w:tab/>
      </w:r>
      <w:r w:rsidR="005265B0">
        <w:rPr>
          <w:rFonts w:ascii="Times New Roman" w:hAnsi="Times New Roman"/>
          <w:sz w:val="26"/>
          <w:u w:val="single"/>
        </w:rPr>
        <w:tab/>
      </w:r>
      <w:r w:rsidR="005265B0">
        <w:rPr>
          <w:rFonts w:ascii="Times New Roman" w:hAnsi="Times New Roman"/>
          <w:sz w:val="26"/>
        </w:rPr>
        <w:t>.</w:t>
      </w:r>
      <w:proofErr w:type="gramEnd"/>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672AC9"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r>
        <w:rPr>
          <w:rFonts w:ascii="Times New Roman" w:hAnsi="Times New Roman"/>
          <w:sz w:val="26"/>
        </w:rPr>
        <w:tab/>
        <w:t xml:space="preserve">10.  </w:t>
      </w:r>
      <w:r w:rsidR="00672AC9">
        <w:rPr>
          <w:rFonts w:ascii="Times New Roman" w:hAnsi="Times New Roman"/>
          <w:sz w:val="26"/>
        </w:rPr>
        <w:t>The issues in dispute shall be presented in the following order:</w:t>
      </w:r>
    </w:p>
    <w:p w:rsidR="00672AC9" w:rsidRDefault="00672AC9"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672AC9" w:rsidRDefault="00672AC9" w:rsidP="00672AC9">
      <w:pPr>
        <w:tabs>
          <w:tab w:val="left" w:pos="576"/>
          <w:tab w:val="left" w:pos="1080"/>
          <w:tab w:val="left" w:pos="8460"/>
        </w:tabs>
        <w:spacing w:line="-300" w:lineRule="auto"/>
        <w:ind w:right="-18"/>
        <w:rPr>
          <w:rFonts w:ascii="Times New Roman" w:hAnsi="Times New Roman"/>
          <w:sz w:val="26"/>
        </w:rPr>
      </w:pPr>
      <w:r>
        <w:rPr>
          <w:rFonts w:ascii="Times New Roman" w:hAnsi="Times New Roman"/>
          <w:sz w:val="26"/>
        </w:rPr>
        <w:tab/>
      </w:r>
      <w:r>
        <w:rPr>
          <w:rFonts w:ascii="Times New Roman" w:hAnsi="Times New Roman"/>
          <w:sz w:val="26"/>
        </w:rPr>
        <w:tab/>
      </w:r>
      <w:proofErr w:type="gramStart"/>
      <w:r>
        <w:rPr>
          <w:rFonts w:ascii="Times New Roman" w:hAnsi="Times New Roman"/>
          <w:sz w:val="26"/>
        </w:rPr>
        <w:t>a</w:t>
      </w:r>
      <w:proofErr w:type="gramEnd"/>
      <w:r>
        <w:rPr>
          <w:rFonts w:ascii="Times New Roman" w:hAnsi="Times New Roman"/>
          <w:sz w:val="26"/>
        </w:rPr>
        <w:t xml:space="preserve">.  </w:t>
      </w:r>
      <w:r>
        <w:rPr>
          <w:rFonts w:ascii="Times New Roman" w:hAnsi="Times New Roman"/>
          <w:sz w:val="26"/>
          <w:u w:val="single"/>
        </w:rPr>
        <w:tab/>
      </w:r>
      <w:r>
        <w:rPr>
          <w:rFonts w:ascii="Times New Roman" w:hAnsi="Times New Roman"/>
          <w:sz w:val="26"/>
        </w:rPr>
        <w:t>;</w:t>
      </w:r>
    </w:p>
    <w:p w:rsidR="00672AC9" w:rsidRDefault="00672AC9" w:rsidP="00672AC9">
      <w:pPr>
        <w:tabs>
          <w:tab w:val="left" w:pos="576"/>
          <w:tab w:val="left" w:pos="1080"/>
          <w:tab w:val="left" w:pos="8460"/>
        </w:tabs>
        <w:spacing w:line="-300" w:lineRule="auto"/>
        <w:ind w:right="-18"/>
        <w:rPr>
          <w:rFonts w:ascii="Times New Roman" w:hAnsi="Times New Roman"/>
          <w:sz w:val="26"/>
        </w:rPr>
      </w:pPr>
    </w:p>
    <w:p w:rsidR="00672AC9" w:rsidRDefault="00672AC9" w:rsidP="00672AC9">
      <w:pPr>
        <w:tabs>
          <w:tab w:val="left" w:pos="576"/>
          <w:tab w:val="left" w:pos="1080"/>
          <w:tab w:val="left" w:pos="8460"/>
        </w:tabs>
        <w:spacing w:line="-300" w:lineRule="auto"/>
        <w:ind w:right="-18"/>
        <w:rPr>
          <w:rFonts w:ascii="Times New Roman" w:hAnsi="Times New Roman"/>
          <w:sz w:val="26"/>
        </w:rPr>
      </w:pPr>
      <w:r>
        <w:rPr>
          <w:rFonts w:ascii="Times New Roman" w:hAnsi="Times New Roman"/>
          <w:sz w:val="26"/>
        </w:rPr>
        <w:tab/>
      </w:r>
      <w:r>
        <w:rPr>
          <w:rFonts w:ascii="Times New Roman" w:hAnsi="Times New Roman"/>
          <w:sz w:val="26"/>
        </w:rPr>
        <w:tab/>
      </w:r>
      <w:proofErr w:type="gramStart"/>
      <w:r>
        <w:rPr>
          <w:rFonts w:ascii="Times New Roman" w:hAnsi="Times New Roman"/>
          <w:sz w:val="26"/>
        </w:rPr>
        <w:t>b</w:t>
      </w:r>
      <w:proofErr w:type="gramEnd"/>
      <w:r>
        <w:rPr>
          <w:rFonts w:ascii="Times New Roman" w:hAnsi="Times New Roman"/>
          <w:sz w:val="26"/>
        </w:rPr>
        <w:t xml:space="preserve">.  </w:t>
      </w:r>
      <w:r>
        <w:rPr>
          <w:rFonts w:ascii="Times New Roman" w:hAnsi="Times New Roman"/>
          <w:sz w:val="26"/>
          <w:u w:val="single"/>
        </w:rPr>
        <w:tab/>
      </w:r>
      <w:r>
        <w:rPr>
          <w:rFonts w:ascii="Times New Roman" w:hAnsi="Times New Roman"/>
          <w:sz w:val="26"/>
        </w:rPr>
        <w:t>;</w:t>
      </w:r>
    </w:p>
    <w:p w:rsidR="00672AC9" w:rsidRDefault="00672AC9" w:rsidP="00672AC9">
      <w:pPr>
        <w:tabs>
          <w:tab w:val="left" w:pos="576"/>
          <w:tab w:val="left" w:pos="1080"/>
          <w:tab w:val="left" w:pos="8460"/>
        </w:tabs>
        <w:spacing w:line="-300" w:lineRule="auto"/>
        <w:ind w:right="-18"/>
        <w:rPr>
          <w:rFonts w:ascii="Times New Roman" w:hAnsi="Times New Roman"/>
          <w:sz w:val="26"/>
        </w:rPr>
      </w:pPr>
    </w:p>
    <w:p w:rsidR="00672AC9" w:rsidRDefault="00672AC9" w:rsidP="00672AC9">
      <w:pPr>
        <w:tabs>
          <w:tab w:val="left" w:pos="576"/>
          <w:tab w:val="left" w:pos="1080"/>
          <w:tab w:val="left" w:pos="8460"/>
        </w:tabs>
        <w:spacing w:line="-300" w:lineRule="auto"/>
        <w:ind w:right="-18"/>
        <w:rPr>
          <w:rFonts w:ascii="Times New Roman" w:hAnsi="Times New Roman"/>
          <w:sz w:val="26"/>
        </w:rPr>
      </w:pPr>
      <w:r>
        <w:rPr>
          <w:rFonts w:ascii="Times New Roman" w:hAnsi="Times New Roman"/>
          <w:sz w:val="26"/>
        </w:rPr>
        <w:tab/>
      </w:r>
      <w:r>
        <w:rPr>
          <w:rFonts w:ascii="Times New Roman" w:hAnsi="Times New Roman"/>
          <w:sz w:val="26"/>
        </w:rPr>
        <w:tab/>
        <w:t xml:space="preserve">c.  </w:t>
      </w:r>
      <w:r>
        <w:rPr>
          <w:rFonts w:ascii="Times New Roman" w:hAnsi="Times New Roman"/>
          <w:sz w:val="26"/>
          <w:u w:val="single"/>
        </w:rPr>
        <w:tab/>
      </w:r>
      <w:r>
        <w:rPr>
          <w:rFonts w:ascii="Times New Roman" w:hAnsi="Times New Roman"/>
          <w:sz w:val="26"/>
        </w:rPr>
        <w:t>; and</w:t>
      </w:r>
    </w:p>
    <w:p w:rsidR="00672AC9" w:rsidRDefault="00672AC9" w:rsidP="00672AC9">
      <w:pPr>
        <w:tabs>
          <w:tab w:val="left" w:pos="576"/>
          <w:tab w:val="left" w:pos="1080"/>
          <w:tab w:val="left" w:pos="8460"/>
        </w:tabs>
        <w:spacing w:line="-300" w:lineRule="auto"/>
        <w:ind w:right="-18"/>
        <w:rPr>
          <w:rFonts w:ascii="Times New Roman" w:hAnsi="Times New Roman"/>
          <w:sz w:val="26"/>
        </w:rPr>
      </w:pPr>
    </w:p>
    <w:p w:rsidR="001576F4" w:rsidRDefault="00672AC9" w:rsidP="00672AC9">
      <w:pPr>
        <w:tabs>
          <w:tab w:val="left" w:pos="576"/>
          <w:tab w:val="left" w:pos="1080"/>
          <w:tab w:val="left" w:pos="8460"/>
        </w:tabs>
        <w:spacing w:line="-300" w:lineRule="auto"/>
        <w:ind w:right="-18"/>
        <w:rPr>
          <w:rFonts w:ascii="Times New Roman" w:hAnsi="Times New Roman"/>
          <w:sz w:val="26"/>
        </w:rPr>
      </w:pPr>
      <w:r>
        <w:rPr>
          <w:rFonts w:ascii="Times New Roman" w:hAnsi="Times New Roman"/>
          <w:sz w:val="26"/>
        </w:rPr>
        <w:tab/>
      </w:r>
      <w:r>
        <w:rPr>
          <w:rFonts w:ascii="Times New Roman" w:hAnsi="Times New Roman"/>
          <w:sz w:val="26"/>
        </w:rPr>
        <w:tab/>
        <w:t xml:space="preserve">d.  </w:t>
      </w:r>
      <w:r>
        <w:rPr>
          <w:rFonts w:ascii="Times New Roman" w:hAnsi="Times New Roman"/>
          <w:sz w:val="26"/>
          <w:u w:val="single"/>
        </w:rPr>
        <w:t xml:space="preserve">  [Other issues, if any]</w:t>
      </w:r>
      <w:r>
        <w:rPr>
          <w:rFonts w:ascii="Times New Roman" w:hAnsi="Times New Roman"/>
          <w:sz w:val="26"/>
          <w:u w:val="single"/>
        </w:rPr>
        <w:tab/>
      </w:r>
      <w:r>
        <w:rPr>
          <w:rFonts w:ascii="Times New Roman" w:hAnsi="Times New Roman"/>
          <w:sz w:val="26"/>
        </w:rPr>
        <w:t>.</w:t>
      </w:r>
      <w:r w:rsidR="001576F4">
        <w:rPr>
          <w:rFonts w:ascii="Times New Roman" w:hAnsi="Times New Roman"/>
          <w:sz w:val="26"/>
        </w:rPr>
        <w:t xml:space="preserve"> </w:t>
      </w:r>
    </w:p>
    <w:p w:rsidR="002A38C3" w:rsidRDefault="002A38C3"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5C7BFF" w:rsidRDefault="002A38C3"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r>
        <w:rPr>
          <w:rFonts w:ascii="Times New Roman" w:hAnsi="Times New Roman"/>
          <w:sz w:val="26"/>
        </w:rPr>
        <w:tab/>
        <w:t xml:space="preserve">11.  </w:t>
      </w:r>
      <w:r w:rsidR="00E93CC6">
        <w:rPr>
          <w:rFonts w:ascii="Times New Roman" w:hAnsi="Times New Roman"/>
          <w:sz w:val="26"/>
        </w:rPr>
        <w:t xml:space="preserve">The Board shall issue a bench decision at the conclusion of the hearing or, at the option of the presiding judge, no later than </w:t>
      </w:r>
      <w:r w:rsidR="00E93CC6">
        <w:rPr>
          <w:rFonts w:ascii="Times New Roman" w:hAnsi="Times New Roman"/>
          <w:sz w:val="26"/>
          <w:u w:val="single"/>
        </w:rPr>
        <w:tab/>
      </w:r>
      <w:r w:rsidR="00E93CC6">
        <w:rPr>
          <w:rFonts w:ascii="Times New Roman" w:hAnsi="Times New Roman"/>
          <w:sz w:val="26"/>
        </w:rPr>
        <w:t xml:space="preserve"> business days after receipt of the transcript</w:t>
      </w:r>
      <w:r w:rsidR="005C7BFF">
        <w:rPr>
          <w:rFonts w:ascii="Times New Roman" w:hAnsi="Times New Roman"/>
          <w:sz w:val="26"/>
        </w:rPr>
        <w:t>.</w:t>
      </w:r>
    </w:p>
    <w:p w:rsidR="00E93CC6" w:rsidRDefault="00E93CC6"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p>
    <w:p w:rsidR="00E93CC6" w:rsidRDefault="00E93CC6"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r>
        <w:rPr>
          <w:rFonts w:ascii="Times New Roman" w:hAnsi="Times New Roman"/>
          <w:sz w:val="26"/>
        </w:rPr>
        <w:tab/>
        <w:t>12.  [Mandatory</w:t>
      </w:r>
      <w:proofErr w:type="gramStart"/>
      <w:r>
        <w:rPr>
          <w:rFonts w:ascii="Times New Roman" w:hAnsi="Times New Roman"/>
          <w:sz w:val="26"/>
        </w:rPr>
        <w:t>]  The</w:t>
      </w:r>
      <w:proofErr w:type="gramEnd"/>
      <w:r>
        <w:rPr>
          <w:rFonts w:ascii="Times New Roman" w:hAnsi="Times New Roman"/>
          <w:sz w:val="26"/>
        </w:rPr>
        <w:t xml:space="preserve"> decision will contain no findings of fact or conclusions of law.</w:t>
      </w:r>
    </w:p>
    <w:p w:rsidR="00E93CC6" w:rsidRDefault="00E93CC6"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p>
    <w:p w:rsidR="00E93CC6" w:rsidRDefault="00E93CC6"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r>
        <w:rPr>
          <w:rFonts w:ascii="Times New Roman" w:hAnsi="Times New Roman"/>
          <w:sz w:val="26"/>
        </w:rPr>
        <w:tab/>
        <w:t>13.  [Mandatory</w:t>
      </w:r>
      <w:proofErr w:type="gramStart"/>
      <w:r>
        <w:rPr>
          <w:rFonts w:ascii="Times New Roman" w:hAnsi="Times New Roman"/>
          <w:sz w:val="26"/>
        </w:rPr>
        <w:t>]  The</w:t>
      </w:r>
      <w:proofErr w:type="gramEnd"/>
      <w:r>
        <w:rPr>
          <w:rFonts w:ascii="Times New Roman" w:hAnsi="Times New Roman"/>
          <w:sz w:val="26"/>
        </w:rPr>
        <w:t xml:space="preserve"> Board’s decision shall be final, conclusive, not subject to reconsideration or appeal, and may not be set aside, except for fraud.  The decision shall have no precedential value.</w:t>
      </w:r>
    </w:p>
    <w:p w:rsidR="00E93CC6" w:rsidRDefault="00E93CC6"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p>
    <w:p w:rsidR="00E93CC6" w:rsidRDefault="00E93CC6"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r>
        <w:rPr>
          <w:rFonts w:ascii="Times New Roman" w:hAnsi="Times New Roman"/>
          <w:sz w:val="26"/>
        </w:rPr>
        <w:tab/>
        <w:t xml:space="preserve">14.  Each party will bear its own fees and expenses, including but not limited to attorney and agent fees and compensation for witnesses, incurred incidental to the </w:t>
      </w:r>
      <w:r w:rsidR="004A4176">
        <w:rPr>
          <w:rFonts w:ascii="Times New Roman" w:hAnsi="Times New Roman"/>
          <w:sz w:val="26"/>
        </w:rPr>
        <w:t>ADR proceeding.</w:t>
      </w:r>
    </w:p>
    <w:p w:rsidR="004A4176" w:rsidRDefault="004A4176"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p>
    <w:p w:rsidR="004A4176" w:rsidRDefault="004A4176" w:rsidP="00E93CC6">
      <w:pPr>
        <w:tabs>
          <w:tab w:val="left" w:pos="576"/>
          <w:tab w:val="left" w:pos="1296"/>
          <w:tab w:val="left" w:pos="2016"/>
          <w:tab w:val="left" w:pos="2736"/>
          <w:tab w:val="left" w:pos="3456"/>
          <w:tab w:val="left" w:pos="6480"/>
        </w:tabs>
        <w:spacing w:line="-300" w:lineRule="auto"/>
        <w:ind w:right="-18"/>
        <w:rPr>
          <w:rFonts w:ascii="Times New Roman" w:hAnsi="Times New Roman"/>
          <w:sz w:val="26"/>
        </w:rPr>
      </w:pPr>
      <w:r>
        <w:rPr>
          <w:rFonts w:ascii="Times New Roman" w:hAnsi="Times New Roman"/>
          <w:sz w:val="26"/>
        </w:rPr>
        <w:tab/>
        <w:t>15.  [Mandatory</w:t>
      </w:r>
      <w:proofErr w:type="gramStart"/>
      <w:r>
        <w:rPr>
          <w:rFonts w:ascii="Times New Roman" w:hAnsi="Times New Roman"/>
          <w:sz w:val="26"/>
        </w:rPr>
        <w:t>]  Any</w:t>
      </w:r>
      <w:proofErr w:type="gramEnd"/>
      <w:r>
        <w:rPr>
          <w:rFonts w:ascii="Times New Roman" w:hAnsi="Times New Roman"/>
          <w:sz w:val="26"/>
        </w:rPr>
        <w:t xml:space="preserve"> Equal Access to Justice Act application in this appeal shall be considered to have been submitted subject to the terms of this agreement and shall be governed by the agreement’s terms (including ¶ 13) and decided in a like summary manner as the decision on the merits.</w:t>
      </w:r>
    </w:p>
    <w:p w:rsidR="001576F4" w:rsidRDefault="001576F4" w:rsidP="004E6E99">
      <w:pPr>
        <w:tabs>
          <w:tab w:val="left" w:pos="576"/>
          <w:tab w:val="left" w:pos="1296"/>
          <w:tab w:val="left" w:pos="2016"/>
          <w:tab w:val="left" w:pos="2736"/>
          <w:tab w:val="left" w:pos="3456"/>
        </w:tabs>
        <w:spacing w:line="-300" w:lineRule="auto"/>
        <w:ind w:right="-18"/>
        <w:rPr>
          <w:rFonts w:ascii="Times New Roman" w:hAnsi="Times New Roman"/>
          <w:sz w:val="26"/>
        </w:rPr>
      </w:pPr>
    </w:p>
    <w:p w:rsidR="001576F4" w:rsidRDefault="001576F4" w:rsidP="004E6E99">
      <w:pPr>
        <w:tabs>
          <w:tab w:val="left" w:pos="576"/>
          <w:tab w:val="left" w:pos="4500"/>
        </w:tabs>
        <w:ind w:right="-18"/>
        <w:rPr>
          <w:rFonts w:ascii="Times New Roman" w:hAnsi="Times New Roman"/>
          <w:sz w:val="26"/>
        </w:rPr>
      </w:pPr>
      <w:r>
        <w:rPr>
          <w:rFonts w:ascii="Times New Roman" w:hAnsi="Times New Roman"/>
          <w:sz w:val="26"/>
        </w:rPr>
        <w:tab/>
        <w:t xml:space="preserve">APPELLANT </w:t>
      </w:r>
      <w:r>
        <w:rPr>
          <w:rFonts w:ascii="Times New Roman" w:hAnsi="Times New Roman"/>
          <w:sz w:val="26"/>
        </w:rPr>
        <w:tab/>
        <w:t>GOVERNMENT AGENCY</w:t>
      </w:r>
    </w:p>
    <w:p w:rsidR="001576F4" w:rsidRDefault="001576F4" w:rsidP="004E6E99">
      <w:pPr>
        <w:tabs>
          <w:tab w:val="left" w:pos="576"/>
          <w:tab w:val="left" w:pos="4500"/>
        </w:tabs>
        <w:ind w:right="-18"/>
        <w:rPr>
          <w:rFonts w:ascii="Times New Roman" w:hAnsi="Times New Roman"/>
          <w:sz w:val="26"/>
        </w:rPr>
      </w:pPr>
    </w:p>
    <w:p w:rsidR="001576F4" w:rsidRDefault="001576F4" w:rsidP="004E6E99">
      <w:pPr>
        <w:tabs>
          <w:tab w:val="left" w:pos="576"/>
          <w:tab w:val="left" w:pos="4500"/>
        </w:tabs>
        <w:ind w:right="-18"/>
        <w:rPr>
          <w:rFonts w:ascii="Times New Roman" w:hAnsi="Times New Roman"/>
          <w:sz w:val="26"/>
        </w:rPr>
      </w:pPr>
    </w:p>
    <w:p w:rsidR="001576F4" w:rsidRDefault="001576F4" w:rsidP="004E6E99">
      <w:pPr>
        <w:tabs>
          <w:tab w:val="left" w:pos="576"/>
          <w:tab w:val="left" w:pos="4500"/>
        </w:tabs>
        <w:ind w:right="-18"/>
        <w:rPr>
          <w:rFonts w:ascii="Times New Roman" w:hAnsi="Times New Roman"/>
          <w:sz w:val="26"/>
        </w:rPr>
      </w:pPr>
      <w:r>
        <w:rPr>
          <w:rFonts w:ascii="Times New Roman" w:hAnsi="Times New Roman"/>
          <w:sz w:val="26"/>
        </w:rPr>
        <w:t>By:</w:t>
      </w:r>
      <w:r>
        <w:rPr>
          <w:rFonts w:ascii="Times New Roman" w:hAnsi="Times New Roman"/>
          <w:sz w:val="26"/>
        </w:rPr>
        <w:tab/>
      </w:r>
      <w:r>
        <w:rPr>
          <w:rFonts w:ascii="Times New Roman" w:hAnsi="Times New Roman"/>
          <w:sz w:val="26"/>
          <w:u w:val="single"/>
        </w:rPr>
        <w:t>                              </w:t>
      </w:r>
      <w:r>
        <w:rPr>
          <w:rFonts w:ascii="Times New Roman" w:hAnsi="Times New Roman"/>
          <w:sz w:val="26"/>
        </w:rPr>
        <w:t xml:space="preserve"> </w:t>
      </w:r>
      <w:r>
        <w:rPr>
          <w:rFonts w:ascii="Times New Roman" w:hAnsi="Times New Roman"/>
          <w:sz w:val="26"/>
        </w:rPr>
        <w:tab/>
        <w:t xml:space="preserve">By: </w:t>
      </w:r>
      <w:r>
        <w:rPr>
          <w:rFonts w:ascii="Times New Roman" w:hAnsi="Times New Roman"/>
          <w:sz w:val="26"/>
          <w:u w:val="single"/>
        </w:rPr>
        <w:t>                              </w:t>
      </w:r>
    </w:p>
    <w:p w:rsidR="001576F4" w:rsidRDefault="001576F4" w:rsidP="004E6E99">
      <w:pPr>
        <w:tabs>
          <w:tab w:val="left" w:pos="576"/>
          <w:tab w:val="left" w:pos="4500"/>
        </w:tabs>
        <w:ind w:right="-18"/>
        <w:rPr>
          <w:rFonts w:ascii="Times New Roman" w:hAnsi="Times New Roman"/>
          <w:sz w:val="26"/>
        </w:rPr>
      </w:pPr>
    </w:p>
    <w:p w:rsidR="001576F4" w:rsidRDefault="001576F4" w:rsidP="004E6E99">
      <w:pPr>
        <w:tabs>
          <w:tab w:val="left" w:pos="576"/>
          <w:tab w:val="left" w:pos="4500"/>
        </w:tabs>
        <w:ind w:right="-18"/>
        <w:rPr>
          <w:rFonts w:ascii="Times New Roman" w:hAnsi="Times New Roman"/>
          <w:sz w:val="26"/>
        </w:rPr>
      </w:pPr>
    </w:p>
    <w:p w:rsidR="003A357D" w:rsidRPr="003A357D" w:rsidRDefault="001576F4" w:rsidP="005C7BFF">
      <w:pPr>
        <w:tabs>
          <w:tab w:val="left" w:pos="576"/>
          <w:tab w:val="left" w:pos="4500"/>
        </w:tabs>
        <w:ind w:right="-18"/>
      </w:pPr>
      <w:r>
        <w:rPr>
          <w:rFonts w:ascii="Times New Roman" w:hAnsi="Times New Roman"/>
          <w:sz w:val="26"/>
        </w:rPr>
        <w:t xml:space="preserve">Date </w:t>
      </w:r>
      <w:r>
        <w:rPr>
          <w:rFonts w:ascii="Times New Roman" w:hAnsi="Times New Roman"/>
          <w:sz w:val="26"/>
          <w:u w:val="single"/>
        </w:rPr>
        <w:t xml:space="preserve">                </w:t>
      </w:r>
      <w:r>
        <w:rPr>
          <w:rFonts w:ascii="Times New Roman" w:hAnsi="Times New Roman"/>
          <w:sz w:val="26"/>
        </w:rPr>
        <w:tab/>
      </w:r>
      <w:proofErr w:type="spellStart"/>
      <w:r>
        <w:rPr>
          <w:rFonts w:ascii="Times New Roman" w:hAnsi="Times New Roman"/>
          <w:sz w:val="26"/>
        </w:rPr>
        <w:t>Date</w:t>
      </w:r>
      <w:proofErr w:type="spellEnd"/>
      <w:r>
        <w:rPr>
          <w:rFonts w:ascii="Times New Roman" w:hAnsi="Times New Roman"/>
          <w:sz w:val="26"/>
        </w:rPr>
        <w:t xml:space="preserve"> </w:t>
      </w:r>
      <w:r>
        <w:rPr>
          <w:rFonts w:ascii="Times New Roman" w:hAnsi="Times New Roman"/>
          <w:sz w:val="26"/>
          <w:u w:val="single"/>
        </w:rPr>
        <w:t xml:space="preserve">                </w:t>
      </w:r>
    </w:p>
    <w:sectPr w:rsidR="003A357D" w:rsidRPr="003A357D" w:rsidSect="00D5339A">
      <w:footerReference w:type="default" r:id="rId6"/>
      <w:pgSz w:w="12240" w:h="15840"/>
      <w:pgMar w:top="1440" w:right="1440" w:bottom="1170" w:left="172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1B" w:rsidRDefault="00B2421B" w:rsidP="00B2421B">
      <w:r>
        <w:separator/>
      </w:r>
    </w:p>
  </w:endnote>
  <w:endnote w:type="continuationSeparator" w:id="0">
    <w:p w:rsidR="00B2421B" w:rsidRDefault="00B2421B" w:rsidP="00B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39A" w:rsidRPr="00D5339A" w:rsidRDefault="00D5339A">
    <w:pPr>
      <w:pStyle w:val="Footer"/>
      <w:jc w:val="center"/>
      <w:rPr>
        <w:rFonts w:ascii="Times New Roman" w:hAnsi="Times New Roman"/>
        <w:sz w:val="26"/>
        <w:szCs w:val="26"/>
      </w:rPr>
    </w:pPr>
  </w:p>
  <w:p w:rsidR="00D5339A" w:rsidRDefault="00D53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1B" w:rsidRDefault="00B2421B" w:rsidP="00B2421B">
      <w:r>
        <w:separator/>
      </w:r>
    </w:p>
  </w:footnote>
  <w:footnote w:type="continuationSeparator" w:id="0">
    <w:p w:rsidR="00B2421B" w:rsidRDefault="00B2421B" w:rsidP="00B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F4"/>
    <w:rsid w:val="00014072"/>
    <w:rsid w:val="00021C7C"/>
    <w:rsid w:val="00062CC5"/>
    <w:rsid w:val="000B591C"/>
    <w:rsid w:val="000D4BF1"/>
    <w:rsid w:val="000F00AC"/>
    <w:rsid w:val="000F4BFB"/>
    <w:rsid w:val="000F6B09"/>
    <w:rsid w:val="00127AAA"/>
    <w:rsid w:val="00130149"/>
    <w:rsid w:val="00145A27"/>
    <w:rsid w:val="001576F4"/>
    <w:rsid w:val="00181BEA"/>
    <w:rsid w:val="0018240E"/>
    <w:rsid w:val="001B58D6"/>
    <w:rsid w:val="001C7F67"/>
    <w:rsid w:val="001D3CA8"/>
    <w:rsid w:val="00212EF5"/>
    <w:rsid w:val="00217568"/>
    <w:rsid w:val="00217B54"/>
    <w:rsid w:val="00220CFE"/>
    <w:rsid w:val="00231DCB"/>
    <w:rsid w:val="00266FFC"/>
    <w:rsid w:val="00272EE0"/>
    <w:rsid w:val="002913B6"/>
    <w:rsid w:val="00297CA6"/>
    <w:rsid w:val="002A269C"/>
    <w:rsid w:val="002A38C3"/>
    <w:rsid w:val="002B3BEB"/>
    <w:rsid w:val="002B3F87"/>
    <w:rsid w:val="002C5155"/>
    <w:rsid w:val="002E7047"/>
    <w:rsid w:val="00324B3F"/>
    <w:rsid w:val="00395E8A"/>
    <w:rsid w:val="003A0835"/>
    <w:rsid w:val="003A357D"/>
    <w:rsid w:val="003A3BCF"/>
    <w:rsid w:val="003B6E4B"/>
    <w:rsid w:val="003D1794"/>
    <w:rsid w:val="00414918"/>
    <w:rsid w:val="00432BEF"/>
    <w:rsid w:val="0045380C"/>
    <w:rsid w:val="0045620E"/>
    <w:rsid w:val="0047495E"/>
    <w:rsid w:val="00492030"/>
    <w:rsid w:val="004A30D8"/>
    <w:rsid w:val="004A4176"/>
    <w:rsid w:val="004C0255"/>
    <w:rsid w:val="004D6BD2"/>
    <w:rsid w:val="004E1829"/>
    <w:rsid w:val="004E518D"/>
    <w:rsid w:val="004E6E99"/>
    <w:rsid w:val="005032AD"/>
    <w:rsid w:val="00504878"/>
    <w:rsid w:val="005265B0"/>
    <w:rsid w:val="005427B5"/>
    <w:rsid w:val="005514B9"/>
    <w:rsid w:val="005720A8"/>
    <w:rsid w:val="005B27A1"/>
    <w:rsid w:val="005C7BFF"/>
    <w:rsid w:val="005F5046"/>
    <w:rsid w:val="00604863"/>
    <w:rsid w:val="00624DEF"/>
    <w:rsid w:val="0062719C"/>
    <w:rsid w:val="00665586"/>
    <w:rsid w:val="00670F7E"/>
    <w:rsid w:val="00672AC9"/>
    <w:rsid w:val="00673B31"/>
    <w:rsid w:val="006A5013"/>
    <w:rsid w:val="006B2517"/>
    <w:rsid w:val="006B46B3"/>
    <w:rsid w:val="006C42B0"/>
    <w:rsid w:val="006E4D63"/>
    <w:rsid w:val="006F18A6"/>
    <w:rsid w:val="00741815"/>
    <w:rsid w:val="00796814"/>
    <w:rsid w:val="007B10E6"/>
    <w:rsid w:val="007E3C02"/>
    <w:rsid w:val="00820B56"/>
    <w:rsid w:val="00821940"/>
    <w:rsid w:val="00826650"/>
    <w:rsid w:val="008707F0"/>
    <w:rsid w:val="00870B3E"/>
    <w:rsid w:val="008818F7"/>
    <w:rsid w:val="00882662"/>
    <w:rsid w:val="008859EB"/>
    <w:rsid w:val="008B65BF"/>
    <w:rsid w:val="008B74F8"/>
    <w:rsid w:val="008D53D9"/>
    <w:rsid w:val="008E3532"/>
    <w:rsid w:val="008E6347"/>
    <w:rsid w:val="009346C4"/>
    <w:rsid w:val="00940917"/>
    <w:rsid w:val="00947916"/>
    <w:rsid w:val="00951257"/>
    <w:rsid w:val="009608CA"/>
    <w:rsid w:val="00961165"/>
    <w:rsid w:val="009742D8"/>
    <w:rsid w:val="00985219"/>
    <w:rsid w:val="009878D3"/>
    <w:rsid w:val="009A68E2"/>
    <w:rsid w:val="009E3511"/>
    <w:rsid w:val="00A035A5"/>
    <w:rsid w:val="00A47706"/>
    <w:rsid w:val="00A86603"/>
    <w:rsid w:val="00AF0F81"/>
    <w:rsid w:val="00B0622D"/>
    <w:rsid w:val="00B13716"/>
    <w:rsid w:val="00B2421B"/>
    <w:rsid w:val="00B351FC"/>
    <w:rsid w:val="00BA0872"/>
    <w:rsid w:val="00BA6F6F"/>
    <w:rsid w:val="00BB0C1A"/>
    <w:rsid w:val="00BC1169"/>
    <w:rsid w:val="00BC27FA"/>
    <w:rsid w:val="00BD7BC1"/>
    <w:rsid w:val="00BE49C7"/>
    <w:rsid w:val="00BE4AD8"/>
    <w:rsid w:val="00C13ECE"/>
    <w:rsid w:val="00C75E9D"/>
    <w:rsid w:val="00CA3B01"/>
    <w:rsid w:val="00CB0DE7"/>
    <w:rsid w:val="00CC24FD"/>
    <w:rsid w:val="00D1613F"/>
    <w:rsid w:val="00D22C4C"/>
    <w:rsid w:val="00D45358"/>
    <w:rsid w:val="00D5339A"/>
    <w:rsid w:val="00D82D47"/>
    <w:rsid w:val="00D955FA"/>
    <w:rsid w:val="00D974CA"/>
    <w:rsid w:val="00DB2B10"/>
    <w:rsid w:val="00E24BF8"/>
    <w:rsid w:val="00E455D7"/>
    <w:rsid w:val="00E542E8"/>
    <w:rsid w:val="00E86F45"/>
    <w:rsid w:val="00E93CC6"/>
    <w:rsid w:val="00EA79DE"/>
    <w:rsid w:val="00EB3F6E"/>
    <w:rsid w:val="00EB4E08"/>
    <w:rsid w:val="00EC4AD7"/>
    <w:rsid w:val="00EC67BC"/>
    <w:rsid w:val="00F07DFD"/>
    <w:rsid w:val="00F576EF"/>
    <w:rsid w:val="00F9032D"/>
    <w:rsid w:val="00F9464D"/>
    <w:rsid w:val="00F95EBD"/>
    <w:rsid w:val="00F96B1D"/>
    <w:rsid w:val="00FA4A59"/>
    <w:rsid w:val="00FB2801"/>
    <w:rsid w:val="00FC10EC"/>
    <w:rsid w:val="00FC1985"/>
    <w:rsid w:val="00FC19FC"/>
    <w:rsid w:val="00FD3612"/>
    <w:rsid w:val="00FF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6ACC87-5040-496E-85D1-BD5F454D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6F4"/>
    <w:pPr>
      <w:overflowPunct w:val="0"/>
      <w:autoSpaceDE w:val="0"/>
      <w:autoSpaceDN w:val="0"/>
      <w:adjustRightInd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D1794"/>
    <w:pPr>
      <w:overflowPunct/>
      <w:autoSpaceDE/>
      <w:autoSpaceDN/>
      <w:adjustRightInd/>
      <w:ind w:left="720" w:hanging="720"/>
    </w:pPr>
    <w:rPr>
      <w:rFonts w:ascii="Times New Roman" w:hAnsi="Times New Roman"/>
      <w:sz w:val="26"/>
    </w:rPr>
  </w:style>
  <w:style w:type="paragraph" w:styleId="EnvelopeAddress">
    <w:name w:val="envelope address"/>
    <w:basedOn w:val="Normal"/>
    <w:rsid w:val="003D1794"/>
    <w:pPr>
      <w:framePr w:w="7920" w:h="1980" w:hRule="exact" w:hSpace="180" w:wrap="auto" w:hAnchor="page" w:xAlign="center" w:yAlign="bottom"/>
      <w:overflowPunct/>
      <w:autoSpaceDE/>
      <w:autoSpaceDN/>
      <w:adjustRightInd/>
      <w:ind w:left="2880"/>
    </w:pPr>
    <w:rPr>
      <w:rFonts w:ascii="Times New Roman" w:hAnsi="Times New Roman" w:cs="Arial"/>
      <w:sz w:val="22"/>
      <w:szCs w:val="24"/>
    </w:rPr>
  </w:style>
  <w:style w:type="paragraph" w:styleId="Header">
    <w:name w:val="header"/>
    <w:basedOn w:val="Normal"/>
    <w:link w:val="HeaderChar"/>
    <w:unhideWhenUsed/>
    <w:rsid w:val="00B2421B"/>
    <w:pPr>
      <w:tabs>
        <w:tab w:val="center" w:pos="4680"/>
        <w:tab w:val="right" w:pos="9360"/>
      </w:tabs>
    </w:pPr>
  </w:style>
  <w:style w:type="character" w:customStyle="1" w:styleId="HeaderChar">
    <w:name w:val="Header Char"/>
    <w:basedOn w:val="DefaultParagraphFont"/>
    <w:link w:val="Header"/>
    <w:rsid w:val="00B2421B"/>
    <w:rPr>
      <w:rFonts w:ascii="Courier New" w:hAnsi="Courier New"/>
      <w:sz w:val="24"/>
    </w:rPr>
  </w:style>
  <w:style w:type="paragraph" w:styleId="Footer">
    <w:name w:val="footer"/>
    <w:basedOn w:val="Normal"/>
    <w:link w:val="FooterChar"/>
    <w:uiPriority w:val="99"/>
    <w:unhideWhenUsed/>
    <w:rsid w:val="00B2421B"/>
    <w:pPr>
      <w:tabs>
        <w:tab w:val="center" w:pos="4680"/>
        <w:tab w:val="right" w:pos="9360"/>
      </w:tabs>
    </w:pPr>
  </w:style>
  <w:style w:type="character" w:customStyle="1" w:styleId="FooterChar">
    <w:name w:val="Footer Char"/>
    <w:basedOn w:val="DefaultParagraphFont"/>
    <w:link w:val="Footer"/>
    <w:uiPriority w:val="99"/>
    <w:rsid w:val="00B2421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CSullins</cp:lastModifiedBy>
  <cp:revision>2</cp:revision>
  <dcterms:created xsi:type="dcterms:W3CDTF">2017-05-18T16:01:00Z</dcterms:created>
  <dcterms:modified xsi:type="dcterms:W3CDTF">2017-05-18T16:01:00Z</dcterms:modified>
</cp:coreProperties>
</file>